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Potvrdenie poskytovateľa zdravotnej starostlivosti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o nepriaznivom zdravotnom stave fyzickej osoby, ktorá žiada o posúdenie odkázanosti na sociálnu službu</w:t>
      </w: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Mesto Stará Turá, Mestský úrad, Ul. SNP 1/2,916 01 Stará Turá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dot" w:pos="9322" w:val="left"/>
        </w:tabs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Žiadateľ: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352" w:val="left"/>
          <w:tab w:pos="7622" w:val="left"/>
        </w:tabs>
        <w:bidi w:val="0"/>
        <w:spacing w:before="0" w:after="0" w:line="240" w:lineRule="auto"/>
        <w:ind w:left="9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priezvisko ( tiež rodné priezvisko)</w:t>
        <w:tab/>
        <w:t>meno</w:t>
        <w:tab/>
        <w:t>titul</w:t>
      </w:r>
    </w:p>
    <w:tbl>
      <w:tblPr>
        <w:tblOverlap w:val="never"/>
        <w:jc w:val="center"/>
        <w:tblLayout w:type="fixed"/>
      </w:tblPr>
      <w:tblGrid>
        <w:gridCol w:w="2098"/>
        <w:gridCol w:w="2693"/>
        <w:gridCol w:w="2635"/>
        <w:gridCol w:w="2366"/>
      </w:tblGrid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sk-SK" w:eastAsia="sk-SK" w:bidi="sk-SK"/>
              </w:rPr>
              <w:t>Dátum narodenia: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sk-SK" w:eastAsia="sk-SK" w:bidi="sk-SK"/>
              </w:rPr>
              <w:t>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sk-SK" w:eastAsia="sk-SK" w:bidi="sk-SK"/>
              </w:rPr>
              <w:t>deň, mesiac, rok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sk-SK" w:eastAsia="sk-SK" w:bidi="sk-SK"/>
              </w:rPr>
              <w:t>Miesto narodenia: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sk-SK" w:eastAsia="sk-SK" w:bidi="sk-SK"/>
              </w:rPr>
              <w:t>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sk-SK" w:eastAsia="sk-SK" w:bidi="sk-SK"/>
              </w:rPr>
              <w:t>obec ( mesto)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sk-SK" w:eastAsia="sk-SK" w:bidi="sk-SK"/>
              </w:rPr>
              <w:t>okres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tabs>
                <w:tab w:leader="dot" w:pos="199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sk-SK" w:eastAsia="sk-SK" w:bidi="sk-SK"/>
              </w:rPr>
              <w:t>Bydlisko:</w:t>
              <w:tab/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sk-SK" w:eastAsia="sk-SK" w:bidi="sk-SK"/>
              </w:rPr>
              <w:t>ulica a číslo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sk-SK" w:eastAsia="sk-SK" w:bidi="sk-SK"/>
              </w:rPr>
              <w:t>obec (mesto)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sk-SK" w:eastAsia="sk-SK" w:bidi="sk-SK"/>
              </w:rPr>
              <w:t>PSČ</w:t>
            </w:r>
          </w:p>
        </w:tc>
      </w:tr>
    </w:tbl>
    <w:p>
      <w:pPr>
        <w:pStyle w:val="Style20"/>
        <w:keepNext/>
        <w:keepLines/>
        <w:widowControl w:val="0"/>
        <w:shd w:val="clear" w:color="auto" w:fill="auto"/>
        <w:bidi w:val="0"/>
        <w:spacing w:before="0" w:after="698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Vyjadrenie lekára:</w:t>
      </w:r>
      <w:bookmarkEnd w:id="2"/>
      <w:bookmarkEnd w:id="3"/>
    </w:p>
    <w:p>
      <w:pPr>
        <w:pStyle w:val="Style22"/>
        <w:keepNext w:val="0"/>
        <w:keepLines w:val="0"/>
        <w:widowControl w:val="0"/>
        <w:shd w:val="clear" w:color="auto" w:fill="auto"/>
        <w:tabs>
          <w:tab w:pos="2837" w:val="left"/>
          <w:tab w:pos="71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dňa:</w:t>
        <w:tab/>
        <w:t>pečiatka:</w:t>
        <w:tab/>
        <w:t>podpis:</w:t>
      </w:r>
    </w:p>
    <w:p>
      <w:pPr>
        <w:pStyle w:val="Style24"/>
        <w:keepNext/>
        <w:keepLines/>
        <w:widowControl w:val="0"/>
        <w:pBdr>
          <w:top w:val="single" w:sz="4" w:space="5" w:color="BDD5ED"/>
          <w:left w:val="single" w:sz="4" w:space="0" w:color="BDD5ED"/>
          <w:bottom w:val="single" w:sz="4" w:space="4" w:color="BDD5ED"/>
          <w:right w:val="single" w:sz="4" w:space="0" w:color="BDD5ED"/>
        </w:pBdr>
        <w:shd w:val="clear" w:color="auto" w:fill="BDD5ED"/>
        <w:bidi w:val="0"/>
        <w:spacing w:before="0" w:after="443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Lekársky nález na účely posúdenia odkázanosti na sociálnu službu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20" w:line="259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Podľa ustanovenia § 49 ods. 3 zákona č. 448/2008 Z. z. o sociálnych službách a o zmene a doplnení zákona č. 455/1991 Zb. o živnostenskom podnikaní (živnostenský zákon) v znení neskorších predpisov posudzujúci zdravotník pri výkone zdravotnej posudkovej činnosti vychádza z lekárskeho nálezu vypracovaného lekárom, s ktorým má fyzická osoba uzatvorenú dohodu o poskytovaní zdravotnej starostlivosti ( zmluvný lekár).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306" w:val="left"/>
        </w:tabs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Meno a priezvisko: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306" w:val="left"/>
        </w:tabs>
        <w:bidi w:val="0"/>
        <w:spacing w:before="0" w:after="26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Dátum narodenia:</w:t>
        <w:tab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306" w:val="left"/>
        </w:tabs>
        <w:bidi w:val="0"/>
        <w:spacing w:before="0" w:after="900" w:line="240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Bydlisko:</w:t>
        <w:tab/>
      </w:r>
    </w:p>
    <w:p>
      <w:pPr>
        <w:pStyle w:val="Style2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180" w:line="240" w:lineRule="auto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Anamnéza: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590" w:left="1255" w:right="1193" w:bottom="899" w:header="162" w:footer="47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 xml:space="preserve">a) osobná (so zameraním na zdravotné postihnutie, spôsob liečby, hospitalizáciu):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b.) subjektívne ťažkosti:</w:t>
      </w:r>
    </w:p>
    <w:p>
      <w:pPr>
        <w:pStyle w:val="Style2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Objektívny nález:</w:t>
      </w:r>
      <w:bookmarkEnd w:id="8"/>
      <w:bookmarkEnd w:id="9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40" w:h="15840"/>
          <w:pgMar w:top="547" w:left="1378" w:right="1378" w:bottom="3539" w:header="119" w:footer="311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07975" distB="0" distL="0" distR="0" simplePos="0" relativeHeight="12582937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307975</wp:posOffset>
                </wp:positionV>
                <wp:extent cx="478790" cy="2044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k-SK" w:eastAsia="sk-SK" w:bidi="sk-SK"/>
                              </w:rPr>
                              <w:t>Výška: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900000000000006pt;margin-top:24.25pt;width:37.700000000000003pt;height:16.100000000000001pt;z-index:-125829375;mso-wrap-distance-left:0;mso-wrap-distance-top:24.25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k-SK" w:eastAsia="sk-SK" w:bidi="sk-SK"/>
                        </w:rPr>
                        <w:t>Výška: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7975" distB="0" distL="0" distR="0" simplePos="0" relativeHeight="125829380" behindDoc="0" locked="0" layoutInCell="1" allowOverlap="1">
                <wp:simplePos x="0" y="0"/>
                <wp:positionH relativeFrom="page">
                  <wp:posOffset>1795780</wp:posOffset>
                </wp:positionH>
                <wp:positionV relativeFrom="paragraph">
                  <wp:posOffset>307975</wp:posOffset>
                </wp:positionV>
                <wp:extent cx="2636520" cy="2044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3652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k-SK" w:eastAsia="sk-SK" w:bidi="sk-SK"/>
                              </w:rPr>
                              <w:t>Hmotnosť: BMI (body mass index):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1.40000000000001pt;margin-top:24.25pt;width:207.59999999999999pt;height:16.100000000000001pt;z-index:-125829373;mso-wrap-distance-left:0;mso-wrap-distance-top:24.25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k-SK" w:eastAsia="sk-SK" w:bidi="sk-SK"/>
                        </w:rPr>
                        <w:t>Hmotnosť: BMI (body mass index):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5715" distL="0" distR="0" simplePos="0" relativeHeight="125829382" behindDoc="0" locked="0" layoutInCell="1" allowOverlap="1">
                <wp:simplePos x="0" y="0"/>
                <wp:positionH relativeFrom="page">
                  <wp:posOffset>4993005</wp:posOffset>
                </wp:positionH>
                <wp:positionV relativeFrom="paragraph">
                  <wp:posOffset>304800</wp:posOffset>
                </wp:positionV>
                <wp:extent cx="292735" cy="20129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7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k-SK" w:eastAsia="sk-SK" w:bidi="sk-SK"/>
                              </w:rPr>
                              <w:t>TK: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93.14999999999998pt;margin-top:24.pt;width:23.050000000000001pt;height:15.85pt;z-index:-125829371;mso-wrap-distance-left:0;mso-wrap-distance-top:24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k-SK" w:eastAsia="sk-SK" w:bidi="sk-SK"/>
                        </w:rPr>
                        <w:t>TK: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04800" distB="5715" distL="0" distR="0" simplePos="0" relativeHeight="125829384" behindDoc="0" locked="0" layoutInCell="1" allowOverlap="1">
                <wp:simplePos x="0" y="0"/>
                <wp:positionH relativeFrom="page">
                  <wp:posOffset>5968365</wp:posOffset>
                </wp:positionH>
                <wp:positionV relativeFrom="paragraph">
                  <wp:posOffset>304800</wp:posOffset>
                </wp:positionV>
                <wp:extent cx="17653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65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k-SK" w:eastAsia="sk-SK" w:bidi="sk-SK"/>
                              </w:rPr>
                              <w:t>P: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9.94999999999999pt;margin-top:24.pt;width:13.9pt;height:15.85pt;z-index:-125829369;mso-wrap-distance-left:0;mso-wrap-distance-top:24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k-SK" w:eastAsia="sk-SK" w:bidi="sk-SK"/>
                        </w:rPr>
                        <w:t>P: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547" w:left="0" w:right="0" w:bottom="547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Habitus: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Orientácia: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Poloha: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Postoj: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Chôdza: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Poruchy kontinencie: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II 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footnoteReference w:id="2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60" w:line="254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Pri interných ochoreniach uviesť fyzikálny nález a doplniť výsledky odborných vyšetrení, ak nie sú uvedené v priloženom náleze, to znamená</w:t>
      </w:r>
      <w:bookmarkEnd w:id="10"/>
      <w:bookmarkEnd w:id="1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kardiologických ochoreniach funkčné štádium NYHA,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cievnych ochoreniach končatín funkčné štádium podľa Fontainea,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hypertenzii stupeň podľa WHO,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pľúcnych ochoreniach funkčné pľúcne vyšetrenie (spirometria),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zažívacích ochoreniach (sonografia, gastrofibroskopia, kolonoskopia a ďalšie),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reumatických ochoreniach séropozitivita, funkčné štádium,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diabete dokumentovať komplikácie (angiopatia, neuropatia, diabetická noha),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zmyslových ochoreniach korigovateľnosť, visus, perimeter, slovná alebo objektívna audiometria,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psychiatrických ochoreniach priložiť odborný nález,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mentálnej retardácií psychologický nález s vyšetrením IQ,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urologických ochoreniach priložiť odborný nález,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gynekologických ochoreniach priložiť odborný nález,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onkologických ochoreniach priložiť odborný nález s onkomarkermi, TNM klasifikácia,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80"/>
        <w:jc w:val="lef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12240" w:h="15840"/>
          <w:pgMar w:top="547" w:left="1378" w:right="1378" w:bottom="5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- pri fenylketonúrii a podobných raritných ochoreniach priložiť odborný nález.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II B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 xml:space="preserve">Pri ortopedických ochoreniach, neurologických ochoreniach a poúrazových stavoch </w:t>
      </w: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a) popísať hybnosť v postihnutej časti s funkčným vyjadrením (goniometria v porovnaní s druhou stranou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b) priložiť ortopedický, neurologický, fyziatricko - rehabilitačný nález (FBLR nález), rontgenologický nález (RTG nález), elektromyografické vyšetrenia (EMG), elektroencefalografické vyšetrenia (EEG), výsledok počítačovej tomografie (CT), nukleárnej magnetickej rezonancie (NMR), denzitometrické vyšetrenie, ak nie sú uvedené v priloženom odbornom náleze.</w:t>
      </w:r>
    </w:p>
    <w:p>
      <w:pPr>
        <w:pStyle w:val="Style9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* Lekár vyplní len tie časti, ktoré sa týkajú zdravotného postihnutia.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1" w:val="left"/>
        </w:tabs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 xml:space="preserve">Diagnostický záver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( podľa Medzinárodnej klasifikácie chorôb s funkčným vyjadrením)</w:t>
      </w:r>
    </w:p>
    <w:p>
      <w:pPr>
        <w:widowControl w:val="0"/>
        <w:spacing w:line="1" w:lineRule="exac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2240" w:h="15840"/>
          <w:pgMar w:top="547" w:left="1378" w:right="1383" w:bottom="673" w:header="119" w:footer="245" w:gutter="0"/>
          <w:cols w:space="720"/>
          <w:noEndnote/>
          <w:rtlGutter w:val="0"/>
          <w:docGrid w:linePitch="360"/>
        </w:sectPr>
      </w:pPr>
      <w:r>
        <w:drawing>
          <wp:anchor distT="2800350" distB="0" distL="0" distR="0" simplePos="0" relativeHeight="125829386" behindDoc="0" locked="0" layoutInCell="1" allowOverlap="1">
            <wp:simplePos x="0" y="0"/>
            <wp:positionH relativeFrom="page">
              <wp:posOffset>885190</wp:posOffset>
            </wp:positionH>
            <wp:positionV relativeFrom="paragraph">
              <wp:posOffset>2800350</wp:posOffset>
            </wp:positionV>
            <wp:extent cx="170815" cy="140335"/>
            <wp:wrapTopAndBottom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0815" cy="1403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794000" distB="0" distL="0" distR="0" simplePos="0" relativeHeight="125829387" behindDoc="0" locked="0" layoutInCell="1" allowOverlap="1">
            <wp:simplePos x="0" y="0"/>
            <wp:positionH relativeFrom="page">
              <wp:posOffset>3137535</wp:posOffset>
            </wp:positionH>
            <wp:positionV relativeFrom="paragraph">
              <wp:posOffset>2794000</wp:posOffset>
            </wp:positionV>
            <wp:extent cx="250190" cy="14605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0190" cy="146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3" w:after="1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12240" w:h="15840"/>
          <w:pgMar w:top="547" w:left="0" w:right="0" w:bottom="6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6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podpis lekára, ktorý lekársky nález vypracoval a odtlačok jeho pečiatky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k-SK" w:eastAsia="sk-SK" w:bidi="sk-SK"/>
        </w:rPr>
        <w:t>Poznámka: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sk-SK" w:eastAsia="sk-SK" w:bidi="sk-SK"/>
        </w:rPr>
        <w:t>Zdravotné výkony na účely zákona č. 448/2008 Z. z. o sociálnych službách a o zmene a doplnení zákona č. 455/1991 Zb. o živnostenskom podnikaní ( živnostenský zákon) sa poskytujú za úhradu. V zmysle § 80 písm. t) obec uhrádza poskytovateľovi zdravotnej starostlivosti výkony na účely posúdenia odkázanosti na sociálnu službu.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Vyjadrenie žiadateľa:</w:t>
      </w:r>
      <w:bookmarkEnd w:id="12"/>
      <w:bookmarkEnd w:id="1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Bol/a som oboznámený/á s obsahom Lekárskeho nálezu na účely posúdenia odkázanosti na sociálnu službu. Prehlasujem, že sú v ňom uvedené všetky lekárske nálezy z kompletnej zdravotnej dokumentácie, ktoré budú slúžiť ako dôkazový materiál a budú podkladom na posúdenie zdravotného stavu a odkázanosti na sociálnu službu.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8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Som si vedomý/á aj možných následkov v prípade neúplných údajov o mojom zdravotnom stave.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4906" w:val="right"/>
          <w:tab w:leader="dot" w:pos="6946" w:val="left"/>
        </w:tabs>
        <w:bidi w:val="0"/>
        <w:spacing w:before="0" w:after="3300" w:line="240" w:lineRule="auto"/>
        <w:ind w:left="0" w:right="0" w:firstLine="24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ab/>
        <w:t>dňa</w:t>
        <w:tab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60" w:right="0" w:firstLine="2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k-SK" w:eastAsia="sk-SK" w:bidi="sk-SK"/>
        </w:rPr>
        <w:t>podpis žiadateľa alebo jeho zákonného zástupcu, ktorý žiada o posúdenie odkázanosti na sociálnu službu</w:t>
      </w:r>
    </w:p>
    <w:sectPr>
      <w:footnotePr>
        <w:pos w:val="pageBottom"/>
        <w:numFmt w:val="chicago"/>
        <w:numStart w:val="1"/>
        <w:numRestart w:val="continuous"/>
        <w15:footnoteColumns w:val="1"/>
      </w:footnotePr>
      <w:type w:val="continuous"/>
      <w:pgSz w:w="12240" w:h="15840"/>
      <w:pgMar w:top="547" w:left="1375" w:right="1375" w:bottom="673" w:header="119" w:footer="24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k-SK" w:eastAsia="sk-SK" w:bidi="sk-SK"/>
        </w:rPr>
        <w:footnoteRef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sk-SK" w:eastAsia="sk-SK" w:bidi="sk-SK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k-SK" w:eastAsia="sk-SK" w:bidi="sk-SK"/>
        </w:rPr>
        <w:t>Lekár vyplní len tie časti, ktoré sa týkajú zdravotného postihnutia fyzickej osoby, nevypisuje sa fyziologický nález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sk-SK" w:eastAsia="sk-SK" w:bidi="sk-SK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sk-SK" w:eastAsia="sk-SK" w:bidi="sk-SK"/>
    </w:rPr>
  </w:style>
  <w:style w:type="character" w:customStyle="1" w:styleId="CharStyle3">
    <w:name w:val="Poznámka pod čiarou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Záhlavie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8">
    <w:name w:val="Základný text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ý text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Názov tabuľky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Iné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Záhlavie #3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23">
    <w:name w:val="Základný text (3)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Záhlavie #2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Poznámka pod čiarou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Záhlavie #1"/>
    <w:basedOn w:val="Normal"/>
    <w:link w:val="CharStyle6"/>
    <w:pPr>
      <w:widowControl w:val="0"/>
      <w:shd w:val="clear" w:color="auto" w:fill="FFFFFF"/>
      <w:spacing w:after="24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7">
    <w:name w:val="Základný text (2)"/>
    <w:basedOn w:val="Normal"/>
    <w:link w:val="CharStyle8"/>
    <w:pPr>
      <w:widowControl w:val="0"/>
      <w:shd w:val="clear" w:color="auto" w:fill="FFFFFF"/>
      <w:spacing w:after="340"/>
      <w:ind w:firstLine="6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ý text"/>
    <w:basedOn w:val="Normal"/>
    <w:link w:val="CharStyle10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Názov tabuľky"/>
    <w:basedOn w:val="Normal"/>
    <w:link w:val="CharStyle13"/>
    <w:pPr>
      <w:widowControl w:val="0"/>
      <w:shd w:val="clear" w:color="auto" w:fill="FFFFFF"/>
      <w:ind w:left="6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Iné"/>
    <w:basedOn w:val="Normal"/>
    <w:link w:val="CharStyle16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Záhlavie #3"/>
    <w:basedOn w:val="Normal"/>
    <w:link w:val="CharStyle21"/>
    <w:pPr>
      <w:widowControl w:val="0"/>
      <w:shd w:val="clear" w:color="auto" w:fill="FFFFFF"/>
      <w:spacing w:after="170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2">
    <w:name w:val="Základný text (3)"/>
    <w:basedOn w:val="Normal"/>
    <w:link w:val="CharStyle2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Záhlavie #2"/>
    <w:basedOn w:val="Normal"/>
    <w:link w:val="CharStyle25"/>
    <w:pPr>
      <w:widowControl w:val="0"/>
      <w:shd w:val="clear" w:color="auto" w:fill="FFFFFF"/>
      <w:spacing w:after="5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